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ind w:left="5387" w:hanging="0"/>
        <w:rPr>
          <w:rStyle w:val="Strong"/>
          <w:b w:val="false"/>
          <w:b w:val="false"/>
          <w:color w:val="262626"/>
          <w:sz w:val="28"/>
          <w:szCs w:val="28"/>
        </w:rPr>
      </w:pPr>
      <w:r>
        <w:rPr>
          <w:rStyle w:val="Strong"/>
          <w:b w:val="false"/>
          <w:color w:val="262626"/>
          <w:sz w:val="28"/>
          <w:szCs w:val="28"/>
        </w:rPr>
        <w:t>УТВЕРЖДЁН</w:t>
      </w:r>
    </w:p>
    <w:p>
      <w:pPr>
        <w:pStyle w:val="NormalWeb"/>
        <w:shd w:val="clear" w:color="auto" w:fill="FFFFFF"/>
        <w:spacing w:beforeAutospacing="0" w:before="0" w:afterAutospacing="0" w:after="0"/>
        <w:ind w:left="5387" w:hanging="0"/>
        <w:rPr/>
      </w:pPr>
      <w:r>
        <w:rPr>
          <w:rStyle w:val="Strong"/>
          <w:b w:val="false"/>
          <w:color w:val="262626"/>
          <w:sz w:val="28"/>
          <w:szCs w:val="28"/>
        </w:rPr>
        <w:t xml:space="preserve">протоколом рабочей группы по вопросам оценки эффективности функционирования антимонопольного комплаенса в Администрации Колпашевского </w:t>
      </w:r>
      <w:r>
        <w:rPr>
          <w:rStyle w:val="Strong"/>
          <w:b w:val="false"/>
          <w:color w:val="262626"/>
          <w:sz w:val="28"/>
          <w:szCs w:val="28"/>
        </w:rPr>
        <w:t>городского поселения</w:t>
      </w:r>
    </w:p>
    <w:p>
      <w:pPr>
        <w:pStyle w:val="NormalWeb"/>
        <w:shd w:val="clear" w:color="auto" w:fill="FFFFFF"/>
        <w:spacing w:beforeAutospacing="0" w:before="0" w:afterAutospacing="0" w:after="0"/>
        <w:ind w:left="5387" w:hanging="0"/>
        <w:rPr/>
      </w:pPr>
      <w:r>
        <w:rPr>
          <w:rStyle w:val="Strong"/>
          <w:b w:val="false"/>
          <w:color w:val="262626"/>
          <w:sz w:val="28"/>
          <w:szCs w:val="28"/>
        </w:rPr>
        <w:t xml:space="preserve">от </w:t>
      </w:r>
      <w:r>
        <w:rPr>
          <w:rStyle w:val="Strong"/>
          <w:b w:val="false"/>
          <w:sz w:val="28"/>
          <w:szCs w:val="28"/>
        </w:rPr>
        <w:t xml:space="preserve">25.02.2026 </w:t>
      </w:r>
      <w:r>
        <w:rPr>
          <w:rStyle w:val="Strong"/>
          <w:b w:val="false"/>
          <w:bCs w:val="false"/>
          <w:sz w:val="28"/>
          <w:szCs w:val="28"/>
        </w:rPr>
        <w:t>№ 1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Style w:val="Strong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Style w:val="Strong"/>
          <w:color w:val="262626"/>
          <w:sz w:val="28"/>
          <w:szCs w:val="28"/>
        </w:rPr>
      </w:pPr>
      <w:r>
        <w:rPr>
          <w:color w:val="262626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262626"/>
          <w:sz w:val="28"/>
          <w:szCs w:val="28"/>
        </w:rPr>
      </w:pPr>
      <w:bookmarkStart w:id="0" w:name="__DdeLink__1149_1057072180"/>
      <w:r>
        <w:rPr>
          <w:rStyle w:val="Strong"/>
          <w:b/>
          <w:bCs/>
          <w:color w:val="262626"/>
          <w:sz w:val="28"/>
          <w:szCs w:val="28"/>
        </w:rPr>
        <w:t>Доклад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262626"/>
          <w:sz w:val="28"/>
          <w:szCs w:val="28"/>
        </w:rPr>
      </w:pPr>
      <w:r>
        <w:rPr>
          <w:rStyle w:val="Strong"/>
          <w:b/>
          <w:bCs/>
          <w:color w:val="262626"/>
          <w:sz w:val="28"/>
          <w:szCs w:val="28"/>
        </w:rPr>
        <w:t xml:space="preserve">об антимонопольном комплаенсе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rStyle w:val="Strong"/>
          <w:b/>
          <w:bCs/>
          <w:color w:val="262626"/>
          <w:sz w:val="28"/>
          <w:szCs w:val="28"/>
        </w:rPr>
        <w:t xml:space="preserve">в Администрации Колпашевского </w:t>
      </w:r>
      <w:r>
        <w:rPr>
          <w:rStyle w:val="Strong"/>
          <w:b/>
          <w:bCs/>
          <w:color w:val="262626"/>
          <w:sz w:val="28"/>
          <w:szCs w:val="28"/>
        </w:rPr>
        <w:t>городского поселения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262626"/>
          <w:sz w:val="28"/>
          <w:szCs w:val="28"/>
        </w:rPr>
      </w:pPr>
      <w:bookmarkStart w:id="1" w:name="__DdeLink__1149_1057072180"/>
      <w:bookmarkEnd w:id="1"/>
      <w:r>
        <w:rPr>
          <w:rStyle w:val="Strong"/>
          <w:b/>
          <w:bCs/>
          <w:color w:val="262626"/>
          <w:sz w:val="28"/>
          <w:szCs w:val="28"/>
        </w:rPr>
        <w:t>за 2025 год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внутреннего обеспечения соответствия требованиям антимонопольного законодательства деятельности Администрации Колпашевского района организована на основании следующих документов: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cs="Times New Roman" w:ascii="Times New Roman" w:hAnsi="Times New Roman"/>
          <w:sz w:val="28"/>
          <w:szCs w:val="28"/>
        </w:rPr>
        <w:t>указ Президента Российской Федерации от 21.12.2017 № 618 «Об основных направлениях государственной политики по развитию конкуренции»;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sz w:val="28"/>
          <w:szCs w:val="28"/>
        </w:rPr>
        <w:t>распоряжение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) распоряжение Губернатора Томской области от 27.02.2019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) распоряжение Администрации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537</w:t>
      </w:r>
      <w:r>
        <w:rPr>
          <w:rFonts w:cs="Times New Roman" w:ascii="Times New Roman" w:hAnsi="Times New Roman"/>
          <w:sz w:val="28"/>
          <w:szCs w:val="28"/>
        </w:rPr>
        <w:t xml:space="preserve"> «Об организации в Администрации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Уполномоченным структурным подразделением, ответственным за функционирование антимонопольного комплаенса, определен </w:t>
      </w:r>
      <w:r>
        <w:rPr>
          <w:rFonts w:cs="Times New Roman" w:ascii="Times New Roman" w:hAnsi="Times New Roman"/>
          <w:sz w:val="28"/>
          <w:szCs w:val="28"/>
        </w:rPr>
        <w:t>организационный</w:t>
      </w:r>
      <w:r>
        <w:rPr>
          <w:rFonts w:cs="Times New Roman" w:ascii="Times New Roman" w:hAnsi="Times New Roman"/>
          <w:sz w:val="28"/>
          <w:szCs w:val="28"/>
        </w:rPr>
        <w:t xml:space="preserve"> отдел Администрации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организации системы внутреннего обеспечения соответствия требованиям антимонопольного законодательства деятельности Администрации реализованы следующие мероприятия:</w:t>
      </w:r>
    </w:p>
    <w:p>
      <w:pPr>
        <w:sectPr>
          <w:type w:val="nextPage"/>
          <w:pgSz w:w="11906" w:h="16838"/>
          <w:pgMar w:left="1701" w:right="850" w:header="0" w:top="851" w:footer="0" w:bottom="709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Проведен анализ выявленных нарушений антимонопольного законодательства (далее – АМЗ) в Администрации за 2023-2025 годы (наличие предостережений, предупреждений, штрафов, жалоб, возбужденных дел), в рамках которого составлен следующий перечень нарушений антимонопольного законодательства:</w:t>
      </w:r>
    </w:p>
    <w:tbl>
      <w:tblPr>
        <w:tblStyle w:val="a5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710"/>
        <w:gridCol w:w="710"/>
        <w:gridCol w:w="849"/>
        <w:gridCol w:w="1"/>
        <w:gridCol w:w="1701"/>
        <w:gridCol w:w="3119"/>
        <w:gridCol w:w="1701"/>
        <w:gridCol w:w="1558"/>
        <w:gridCol w:w="1"/>
        <w:gridCol w:w="1842"/>
        <w:gridCol w:w="1"/>
        <w:gridCol w:w="1697"/>
      </w:tblGrid>
      <w:tr>
        <w:trPr>
          <w:trHeight w:val="600" w:hRule="atLeast"/>
        </w:trPr>
        <w:tc>
          <w:tcPr>
            <w:tcW w:w="3511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Сведения о выявленных нарушениях</w:t>
            </w:r>
          </w:p>
        </w:tc>
        <w:tc>
          <w:tcPr>
            <w:tcW w:w="8080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Информация о нарушении</w:t>
            </w:r>
          </w:p>
        </w:tc>
        <w:tc>
          <w:tcPr>
            <w:tcW w:w="1843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Позиция антимонопольного органа</w:t>
            </w:r>
          </w:p>
        </w:tc>
        <w:tc>
          <w:tcPr>
            <w:tcW w:w="1698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Сведения о мерах по устранению нарушения и мерах, направленных на недопущение повторения нарушения</w:t>
            </w:r>
          </w:p>
        </w:tc>
      </w:tr>
      <w:tr>
        <w:trPr>
          <w:trHeight w:val="360" w:hRule="atLeast"/>
        </w:trPr>
        <w:tc>
          <w:tcPr>
            <w:tcW w:w="12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Нарушенная норма антимонопольного законодательства</w:t>
            </w:r>
          </w:p>
        </w:tc>
        <w:tc>
          <w:tcPr>
            <w:tcW w:w="3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Краткое изложение сути нарушения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Последствия нарушения антимонопольного законодательства</w:t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рассмотрения нарушения антимонопольным органом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5132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Нарушения в сфере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антимонопольного законодательства</w:t>
            </w:r>
          </w:p>
        </w:tc>
      </w:tr>
      <w:tr>
        <w:trPr>
          <w:trHeight w:val="4015" w:hRule="atLeast"/>
        </w:trPr>
        <w:tc>
          <w:tcPr>
            <w:tcW w:w="12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84" w:hRule="atLeast"/>
        </w:trPr>
        <w:tc>
          <w:tcPr>
            <w:tcW w:w="12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Предупреждение о прекращении действий, которые содержат признаки нарушения антимонопольного законодательства 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ст.15 Закона о защите конкуренции                    </w:t>
            </w:r>
          </w:p>
        </w:tc>
        <w:tc>
          <w:tcPr>
            <w:tcW w:w="3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Отсутствие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надлежащего контроля за исполнением бюджетной инвестиции ООО «Перевозчик» </w:t>
            </w:r>
          </w:p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Предупреждение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Вынесено предупреждение о прекращении действий, которые содержат признаки нарушения антимонопольного законодательства</w:t>
            </w:r>
          </w:p>
        </w:tc>
        <w:tc>
          <w:tcPr>
            <w:tcW w:w="18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Отсутствие должного контроля со стороны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Администраци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Колпашевского городского поселения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могло привести к использованию бюджетной инвестиции не  в соответствии с заявленной целью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Усилен контроль за исполнением бюджетной инвестиции</w:t>
            </w:r>
          </w:p>
        </w:tc>
      </w:tr>
      <w:tr>
        <w:trPr>
          <w:trHeight w:val="2184" w:hRule="atLeast"/>
        </w:trPr>
        <w:tc>
          <w:tcPr>
            <w:tcW w:w="1242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Предупреждение о прекращении действий, которые содержат признаки нарушения антимонопольного законодательства </w:t>
            </w:r>
          </w:p>
        </w:tc>
        <w:tc>
          <w:tcPr>
            <w:tcW w:w="710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ст.15 Закона о защите конкуренции                    </w:t>
            </w:r>
          </w:p>
        </w:tc>
        <w:tc>
          <w:tcPr>
            <w:tcW w:w="31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В учредительные документы МКП «Колпашевское» включены виды деятельности не подпадающие под исключения, предусмотренные ст.35.1 Закона о защите конкуренции </w:t>
            </w:r>
          </w:p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Предупреждение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Вынесено предупреждение о прекращении действий, которые содержат признаки нарушения антимонопольного законодательства</w:t>
            </w:r>
          </w:p>
        </w:tc>
        <w:tc>
          <w:tcPr>
            <w:tcW w:w="1843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enter" w:pos="1468" w:leader="non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 в учредительных документах видов деятельности не подпадающих под исключения, предусмотренные ст.35.1 Закона о защите конкуренции создает угрозу ограничения конкуренции на определенном товарном рынке</w:t>
            </w:r>
          </w:p>
        </w:tc>
        <w:tc>
          <w:tcPr>
            <w:tcW w:w="169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Внесены изменения в устав МКП «Колпашевское»,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виды деятельности не подпадающие под исключения, предусмотренные ст.35.1 Закона о защите конкуренции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исключены </w:t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1134" w:right="1134" w:header="426" w:top="851" w:footer="0" w:bottom="1701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Проведен анализ нормативных правовых актов Администрации </w:t>
      </w:r>
      <w:r>
        <w:rPr>
          <w:rFonts w:cs="Times New Roman" w:ascii="Times New Roman" w:hAnsi="Times New Roman"/>
          <w:sz w:val="28"/>
          <w:szCs w:val="28"/>
        </w:rPr>
        <w:t>Колпашевского городского поселения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проведенного анализа положения, имеющие признаки нарушения антимонопольного законодательства, не выявлены.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 Проведен мониторинг и анализ практики применения Администрацией антимонопольного законодательства, по результатам которого подготовлена следующая аналитическая справка: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Практика применения Администрацией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антимонопольного законодательства складывается преимущественно в рамках исполнения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связи с чем нарушения, совершаемые Администрацией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, влекущие возможное ограничение конкуренции, производятся в отношении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итогам анализа выявленных нарушений антимонопольного законодательства в Администрации за 2023-2025 годы установлено, что нарушения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2025 году в сравнении с 2023 и 2024 годом </w:t>
      </w:r>
      <w:r>
        <w:rPr>
          <w:rFonts w:cs="Times New Roman" w:ascii="Times New Roman" w:hAnsi="Times New Roman"/>
          <w:sz w:val="28"/>
          <w:szCs w:val="28"/>
        </w:rPr>
        <w:t>не увеличился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Однако, риск нарушения антимонопольного законодательства - нарушения при осуществлении закупок товаров, работ, услуг для обеспечения государственных нужд в соответствии с Федеральный закон от 05.04.2013 № 44-ФЗ, которые привели к ограничению конкуренции - сохраняется.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проведенной уполномоченным структурным подразделением оценки указанного риска выявлено, что уровень риска – высокий, причины и условия возникновения риска состоят в недостатке знаний в области вида деятельности, при осуществлении которого устанавливаются особые требования.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Проведение оценки выполнения мероприятий по снижению рисков нарушения антимонопольног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 xml:space="preserve">о законодательства в соответствии с  Положением об организации системы внутреннего обеспечения соответствия требованиям антимонопольного законодательства деятельности Администрации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по итогам реализации плана мероприятий по снижению рисков нарушения антимонопольного законодательства.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Мероприятия плана по снижению рисков нарушения антимонопольного законодательства в 2025 году исполнялись на постоянной основе.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2025 год достигнуты следующие значения ключевых показателей эффективности антимонопольного комплаенса: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1) Факты выдачи Администрации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 –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Вступившие в законную силу решения судов о признании недействительными ненормативных правовых актов, незаконными решений и действий (бездействия) Администрации Колпашевского района, её должностных лиц ввиду их несоответствия антимонопольному законодательству – 0.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 Жалобы на решения, действия (бездействие) Администрации Колпашевского </w:t>
      </w:r>
      <w:r>
        <w:rPr>
          <w:rFonts w:cs="Times New Roman" w:ascii="Times New Roman" w:hAnsi="Times New Roman"/>
          <w:sz w:val="28"/>
          <w:szCs w:val="28"/>
        </w:rPr>
        <w:t>городского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 –0.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Выполнение мероприятий по снижению рисков нарушения антимонопольного законодательства – выполнены все мероприятия.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Доля проектов нормативных правовых актов, связанных с осуществлением деятельности хозяйствующими субъектами, за исключением проектов актов, содержащих сведения, относящиеся к охраняемой законом тайне, прошедших процедуру «общественного контроля»  в общем количестве проектов нормативных правовых актов, подлежащих прохождению такой процедуры – соответствующие проекты отсутствуют.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426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49704066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19241092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b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86b51"/>
    <w:rPr>
      <w:b/>
      <w:bCs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b86b51"/>
    <w:rPr/>
  </w:style>
  <w:style w:type="character" w:styleId="Style15">
    <w:name w:val="Интернет-ссылка"/>
    <w:basedOn w:val="DefaultParagraphFont"/>
    <w:uiPriority w:val="99"/>
    <w:unhideWhenUsed/>
    <w:rsid w:val="00b86b51"/>
    <w:rPr>
      <w:color w:val="0000FF" w:themeColor="hyperlink"/>
      <w:u w:val="single"/>
    </w:rPr>
  </w:style>
  <w:style w:type="character" w:styleId="Style16" w:customStyle="1">
    <w:name w:val="Основной текст Знак"/>
    <w:basedOn w:val="DefaultParagraphFont"/>
    <w:link w:val="a9"/>
    <w:uiPriority w:val="99"/>
    <w:qFormat/>
    <w:rsid w:val="00b86b51"/>
    <w:rPr/>
  </w:style>
  <w:style w:type="character" w:styleId="Footnotereference">
    <w:name w:val="footnote reference"/>
    <w:basedOn w:val="DefaultParagraphFont"/>
    <w:uiPriority w:val="99"/>
    <w:semiHidden/>
    <w:unhideWhenUsed/>
    <w:qFormat/>
    <w:rsid w:val="00ff1254"/>
    <w:rPr>
      <w:vertAlign w:val="superscript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ff1254"/>
    <w:rPr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a"/>
    <w:uiPriority w:val="99"/>
    <w:unhideWhenUsed/>
    <w:rsid w:val="00b86b51"/>
    <w:pPr>
      <w:spacing w:before="0" w:after="12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86b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Header"/>
    <w:basedOn w:val="Normal"/>
    <w:link w:val="a7"/>
    <w:uiPriority w:val="99"/>
    <w:unhideWhenUsed/>
    <w:rsid w:val="00b86b5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ad"/>
    <w:uiPriority w:val="99"/>
    <w:semiHidden/>
    <w:unhideWhenUsed/>
    <w:qFormat/>
    <w:rsid w:val="00ff1254"/>
    <w:pPr>
      <w:spacing w:lineRule="auto" w:line="240" w:before="0" w:after="0"/>
    </w:pPr>
    <w:rPr>
      <w:sz w:val="20"/>
      <w:szCs w:val="20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6b51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f1254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6281-CBE6-4A3C-AA30-41EDAB3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LibreOffice/5.3.3.2$Windows_X86_64 LibreOffice_project/3d9a8b4b4e538a85e0782bd6c2d430bafe583448</Application>
  <Pages>5</Pages>
  <Words>860</Words>
  <Characters>6963</Characters>
  <CharactersWithSpaces>7814</CharactersWithSpaces>
  <Paragraphs>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2026-02-24T08:21:00Z</dcterms:created>
  <dc:creator>Старикова Ирина Валерьевна</dc:creator>
  <dc:description/>
  <dc:language>ru-RU</dc:language>
  <cp:lastModifiedBy/>
  <cp:lastPrinted>2025-02-24T03:18:00Z</cp:lastPrinted>
  <dcterms:modified xsi:type="dcterms:W3CDTF">2026-02-25T15:29:23Z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